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31" w:rsidRDefault="007F207F">
      <w:pPr>
        <w:pStyle w:val="1"/>
      </w:pPr>
      <w:bookmarkStart w:id="0" w:name="_GoBack"/>
      <w:bookmarkEnd w:id="0"/>
      <w:r>
        <w:t xml:space="preserve">ПРОТОКОЛ № 16 Внеочередного общего собрания членов некоммерческого партнерства «Союз строителей Московской области «Мособлстройкомплекс»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«22</w:t>
      </w:r>
      <w:r>
        <w:rPr>
          <w:rFonts w:ascii="Times New Roman" w:eastAsia="Times New Roman" w:hAnsi="Times New Roman" w:cs="Times New Roman"/>
          <w:b/>
          <w:sz w:val="24"/>
        </w:rPr>
        <w:t xml:space="preserve">» января  2010 года </w:t>
      </w:r>
    </w:p>
    <w:p w:rsidR="00E21D31" w:rsidRDefault="007F207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Место проведения собрания – Московская область, г.Химки, ул. Ленинградская, дом 18а, МУ Молодежный центр «Восход» </w:t>
      </w:r>
    </w:p>
    <w:p w:rsidR="00E21D31" w:rsidRDefault="007F207F">
      <w:pPr>
        <w:spacing w:after="13" w:line="268" w:lineRule="auto"/>
        <w:ind w:left="-15" w:right="210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Начало регистрации лиц, имеющих право на участие во внеочередном общем собрании членов Некоммерческого партнерства «С</w:t>
      </w:r>
      <w:r>
        <w:rPr>
          <w:rFonts w:ascii="Times New Roman" w:eastAsia="Times New Roman" w:hAnsi="Times New Roman" w:cs="Times New Roman"/>
          <w:sz w:val="24"/>
        </w:rPr>
        <w:t xml:space="preserve">оюз строителей Московской области «Мособлстройкомплекс» 14 час.30 мин.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Окончание регистрации лиц, имеющих право на участие во внеочередном общем собрании членов Некоммерческого партнерства «Союз строителей Московской области «Мособлстройкомплекс» 15 час.</w:t>
      </w:r>
      <w:r>
        <w:rPr>
          <w:rFonts w:ascii="Times New Roman" w:eastAsia="Times New Roman" w:hAnsi="Times New Roman" w:cs="Times New Roman"/>
          <w:sz w:val="24"/>
        </w:rPr>
        <w:t xml:space="preserve">00 мин. </w:t>
      </w:r>
    </w:p>
    <w:p w:rsidR="00E21D31" w:rsidRDefault="007F207F">
      <w:pPr>
        <w:tabs>
          <w:tab w:val="center" w:pos="2535"/>
        </w:tabs>
        <w:spacing w:after="13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Собрание открыто в 15 час. 00 мин. </w:t>
      </w:r>
    </w:p>
    <w:p w:rsidR="00E21D31" w:rsidRDefault="007F207F">
      <w:pPr>
        <w:spacing w:after="13" w:line="268" w:lineRule="auto"/>
        <w:ind w:left="-15" w:right="210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участия в Общем собрании зарегистрировались 250 (двести пятьдесят) членов Некоммерческого партнерства «Союз строителей Московской области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«Мособлстройкомплекс» (далее Партнерство) согласно приложения 1. </w:t>
      </w:r>
    </w:p>
    <w:p w:rsidR="00E21D31" w:rsidRDefault="007F207F">
      <w:pPr>
        <w:spacing w:after="3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 общем собрании присутствовали без права голосования::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Матюнина Инна Александровна – Генеральный директор Некоммерческого партнерства «Союз строителей Московской области «Мособлстройкомплекс»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Трепалюк Владимир Васильевич – Заместитель генерального ди</w:t>
      </w:r>
      <w:r>
        <w:rPr>
          <w:rFonts w:ascii="Times New Roman" w:eastAsia="Times New Roman" w:hAnsi="Times New Roman" w:cs="Times New Roman"/>
          <w:sz w:val="24"/>
        </w:rPr>
        <w:t xml:space="preserve">ректора Некоммерческого партнерства «Союз строителей Московской области «Мособлстройкомплекс»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3832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Председатель собрания: Кривошеев В.Н.   Секретарь собрания: Останин А.Ю. </w:t>
      </w:r>
    </w:p>
    <w:p w:rsidR="00E21D31" w:rsidRDefault="007F207F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ОТКРЫТИЕ ОБЩЕГО СОБРАНИЯ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СЛУШАЛИ: Кривошеева В.Н., который сообщил, что из 340 (Триста сорок)  членов Партнерства в Общем собрании принимают участие 250 (Двести пятьдесят)  членов Партнерства. Общее собрание правомочно, т.к. в нем принимает участие более половины членов Партнерств</w:t>
      </w:r>
      <w:r>
        <w:rPr>
          <w:rFonts w:ascii="Times New Roman" w:eastAsia="Times New Roman" w:hAnsi="Times New Roman" w:cs="Times New Roman"/>
          <w:sz w:val="24"/>
        </w:rPr>
        <w:t xml:space="preserve">а. 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Председательствующий объявил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 собрание открытым.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 ПОВЕСТКЕ ДНЯ ОБЩЕГО СОБРАНИЯ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СЛУШАЛИ: Председательствующего, который предложил утвердить повестку дня Общего собрания. 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Иных предложений и замечаний не поступило.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РЕШИЛИ: утвердить повестку</w:t>
      </w:r>
      <w:r>
        <w:rPr>
          <w:rFonts w:ascii="Times New Roman" w:eastAsia="Times New Roman" w:hAnsi="Times New Roman" w:cs="Times New Roman"/>
          <w:sz w:val="24"/>
        </w:rPr>
        <w:t xml:space="preserve"> дня Общего собрания.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Голосовали:  «за»-100%. Решение принято единогласно </w:t>
      </w:r>
    </w:p>
    <w:p w:rsidR="00E21D31" w:rsidRDefault="007F207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82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Избрали: Председатель собрания: Кривошеев В.Н. 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Секретарь собрания: Останин А.Ю.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71" w:lineRule="auto"/>
        <w:ind w:left="10" w:right="21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ПОВЕСТКА ДНЯ: </w:t>
      </w:r>
    </w:p>
    <w:p w:rsidR="00E21D31" w:rsidRDefault="007F207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numPr>
          <w:ilvl w:val="0"/>
          <w:numId w:val="1"/>
        </w:numPr>
        <w:spacing w:after="5" w:line="271" w:lineRule="auto"/>
        <w:ind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 расширении сферы деятельности Некоммерческого партнерства «Союз строителей Московской области «Мособлстройкомплекс» по решению вопросов о выдаче Свидетельств о допуске ; </w:t>
      </w:r>
    </w:p>
    <w:p w:rsidR="00E21D31" w:rsidRDefault="007F207F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numPr>
          <w:ilvl w:val="0"/>
          <w:numId w:val="1"/>
        </w:numPr>
        <w:spacing w:after="5" w:line="271" w:lineRule="auto"/>
        <w:ind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нового 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Перечня видов работ, которые оказывают влияние на безопасность объектов капитального строительства и решения вопросов по выдаче свидетельств о допуске к которым относится к сфере деятельности некоммерческого партнерства «Союз строителей Московской области </w:t>
      </w:r>
      <w:r>
        <w:rPr>
          <w:rFonts w:ascii="Times New Roman" w:eastAsia="Times New Roman" w:hAnsi="Times New Roman" w:cs="Times New Roman"/>
          <w:b/>
          <w:sz w:val="24"/>
        </w:rPr>
        <w:t xml:space="preserve">«Мособлстройкомплекс»; </w:t>
      </w:r>
    </w:p>
    <w:p w:rsidR="00E21D31" w:rsidRDefault="007F207F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numPr>
          <w:ilvl w:val="0"/>
          <w:numId w:val="1"/>
        </w:numPr>
        <w:spacing w:after="5" w:line="271" w:lineRule="auto"/>
        <w:ind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 утверждении Требований  к выдаче Некоммерческим партнерством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</w:t>
      </w:r>
      <w:r>
        <w:rPr>
          <w:rFonts w:ascii="Times New Roman" w:eastAsia="Times New Roman" w:hAnsi="Times New Roman" w:cs="Times New Roman"/>
          <w:b/>
          <w:sz w:val="24"/>
        </w:rPr>
        <w:t xml:space="preserve">тов капитального строительства в новой редакции; </w:t>
      </w:r>
    </w:p>
    <w:p w:rsidR="00E21D31" w:rsidRDefault="007F207F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numPr>
          <w:ilvl w:val="0"/>
          <w:numId w:val="1"/>
        </w:numPr>
        <w:spacing w:after="5" w:line="271" w:lineRule="auto"/>
        <w:ind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 утверждении Правил саморегулирования НП МОСК-1.1-2010 «Требования к страхованию членами некоммерческого партнерства «Союз строителей Московской области «Мособлстройкомплекс» гражданской ответственности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в новой редакции 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 ПЕРВОМУ ВОПРОСУ ПОВЕТСКИ ДНЯ: «О расширении сферы деятельности Некомм</w:t>
      </w:r>
      <w:r>
        <w:rPr>
          <w:rFonts w:ascii="Times New Roman" w:eastAsia="Times New Roman" w:hAnsi="Times New Roman" w:cs="Times New Roman"/>
          <w:b/>
          <w:sz w:val="24"/>
        </w:rPr>
        <w:t xml:space="preserve">ерческого партнерства «Союз строителей Московской области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«Мособлстройкомплекс» по решению вопросов о выдаче свидетельств о допуске»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</w:rPr>
        <w:t>Генерального директора Некоммерческого партнерства «</w:t>
      </w:r>
      <w:r>
        <w:rPr>
          <w:rFonts w:ascii="Times New Roman" w:eastAsia="Times New Roman" w:hAnsi="Times New Roman" w:cs="Times New Roman"/>
          <w:sz w:val="24"/>
        </w:rPr>
        <w:t>Союз строителей Московской области «Мособлстройкомплекс» Матюнину И.А., которая доложила о вступлении в силу с 11 января 2010 года приказа Министерства регионального развития Российской Федерации от 21 октября 2009 года № 480 «О внесении изменений в приказ</w:t>
      </w:r>
      <w:r>
        <w:rPr>
          <w:rFonts w:ascii="Times New Roman" w:eastAsia="Times New Roman" w:hAnsi="Times New Roman" w:cs="Times New Roman"/>
          <w:sz w:val="24"/>
        </w:rPr>
        <w:t xml:space="preserve"> Министерства регионального развития  Российской Федерации от 09 декабря 2008 года № 274 «Об утверждении Перечня видов работ по инженерных изысканиям, по подготовке проектной документации, по строительству, реконструкции, капитальному ремонту объектов капи</w:t>
      </w:r>
      <w:r>
        <w:rPr>
          <w:rFonts w:ascii="Times New Roman" w:eastAsia="Times New Roman" w:hAnsi="Times New Roman" w:cs="Times New Roman"/>
          <w:sz w:val="24"/>
        </w:rPr>
        <w:t>тального строительства, которые оказывают влияние на безопасность объектов капитального строительства». В соответствии с указанным приказом для выполнения работ по строительному контролю (застройщиком или лицом, привлекаемым застройщиком), работ по организ</w:t>
      </w:r>
      <w:r>
        <w:rPr>
          <w:rFonts w:ascii="Times New Roman" w:eastAsia="Times New Roman" w:hAnsi="Times New Roman" w:cs="Times New Roman"/>
          <w:sz w:val="24"/>
        </w:rPr>
        <w:t xml:space="preserve">ации строительства генеральным подрядчиком требуется наличие Свидетельства.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21D31" w:rsidRDefault="007F207F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В рамках реализации приказа Министерства регионального развития Российской Федерации от 21 октября 2009 года № 480 «О внесении изменений в приказ Министерства региона</w:t>
      </w:r>
      <w:r>
        <w:rPr>
          <w:rFonts w:ascii="Times New Roman" w:eastAsia="Times New Roman" w:hAnsi="Times New Roman" w:cs="Times New Roman"/>
          <w:sz w:val="24"/>
        </w:rPr>
        <w:t>льного развития  Российской Федерации от 09 декабря 2008 года № 274 «Об утверждении Перечня видов работ по инженерных изысканиям, по подготовке проектной документации, по строительству, реконструкции, капитальному ремонту объектов капитального строительств</w:t>
      </w:r>
      <w:r>
        <w:rPr>
          <w:rFonts w:ascii="Times New Roman" w:eastAsia="Times New Roman" w:hAnsi="Times New Roman" w:cs="Times New Roman"/>
          <w:sz w:val="24"/>
        </w:rPr>
        <w:t>а, которые оказывают влияние на безопасность объектов капитального строительства» расширить сферу деятельности Некоммерческого партнерства «Союз строителей Московской области «Мособлстройкомплекс» по решению вопросов о выдаче свидетельств о допуске», допол</w:t>
      </w:r>
      <w:r>
        <w:rPr>
          <w:rFonts w:ascii="Times New Roman" w:eastAsia="Times New Roman" w:hAnsi="Times New Roman" w:cs="Times New Roman"/>
          <w:sz w:val="24"/>
        </w:rPr>
        <w:t xml:space="preserve">нив Перечень видов работ, которые оказывают влияние на безопасность объектов капитального строительства следующими видами работ: </w:t>
      </w:r>
    </w:p>
    <w:p w:rsidR="00E21D31" w:rsidRDefault="007F207F">
      <w:pPr>
        <w:numPr>
          <w:ilvl w:val="0"/>
          <w:numId w:val="2"/>
        </w:numPr>
        <w:spacing w:after="13" w:line="268" w:lineRule="auto"/>
        <w:ind w:right="21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Работы по осуществлению строительного контроля застройщиком. </w:t>
      </w:r>
    </w:p>
    <w:p w:rsidR="00E21D31" w:rsidRDefault="007F207F">
      <w:pPr>
        <w:numPr>
          <w:ilvl w:val="0"/>
          <w:numId w:val="2"/>
        </w:numPr>
        <w:spacing w:after="13" w:line="268" w:lineRule="auto"/>
        <w:ind w:right="210" w:hanging="360"/>
        <w:jc w:val="both"/>
      </w:pPr>
      <w:r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</w:t>
      </w:r>
      <w:r>
        <w:rPr>
          <w:rFonts w:ascii="Times New Roman" w:eastAsia="Times New Roman" w:hAnsi="Times New Roman" w:cs="Times New Roman"/>
          <w:sz w:val="24"/>
        </w:rPr>
        <w:t xml:space="preserve">ройщиком или заказчиком на основании договора юридическим лицом или индивидуальным предпринимателем. </w:t>
      </w:r>
    </w:p>
    <w:p w:rsidR="00E21D31" w:rsidRDefault="007F207F">
      <w:pPr>
        <w:numPr>
          <w:ilvl w:val="0"/>
          <w:numId w:val="2"/>
        </w:numPr>
        <w:spacing w:after="13" w:line="268" w:lineRule="auto"/>
        <w:ind w:right="210" w:hanging="360"/>
        <w:jc w:val="both"/>
      </w:pPr>
      <w:r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</w:t>
      </w:r>
      <w:r>
        <w:rPr>
          <w:rFonts w:ascii="Times New Roman" w:eastAsia="Times New Roman" w:hAnsi="Times New Roman" w:cs="Times New Roman"/>
          <w:sz w:val="24"/>
        </w:rPr>
        <w:t xml:space="preserve"> или индивидуальным предпринимателем (генеральным подрядчиком). 36. Работы по осуществлению строительного контроля застройщиком. </w:t>
      </w:r>
    </w:p>
    <w:p w:rsidR="00E21D31" w:rsidRDefault="007F207F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Голосовали:  «за»-100%.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Решение принято единогласно.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ВТОРОМУ ВОПРОСУ ПОВЕСТКИ ДНЯ: Об утверждении нового  Перечня </w:t>
      </w:r>
      <w:r>
        <w:rPr>
          <w:rFonts w:ascii="Times New Roman" w:eastAsia="Times New Roman" w:hAnsi="Times New Roman" w:cs="Times New Roman"/>
          <w:b/>
          <w:sz w:val="24"/>
        </w:rPr>
        <w:t>видов работ, которые оказывают влияние на безопасность объектов капитального строительства и решения вопросов по выдаче свидетельств о допуске к которым относится к сфере деятельности некоммерческого партнерства «Союз строителей Московской области «Мособлс</w:t>
      </w:r>
      <w:r>
        <w:rPr>
          <w:rFonts w:ascii="Times New Roman" w:eastAsia="Times New Roman" w:hAnsi="Times New Roman" w:cs="Times New Roman"/>
          <w:b/>
          <w:sz w:val="24"/>
        </w:rPr>
        <w:t xml:space="preserve">тройкомплекс».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</w:rPr>
        <w:t>Председателя общего собрания Кривошеева В.Н., который предложил утвердить новый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</w:t>
      </w:r>
      <w:r>
        <w:rPr>
          <w:rFonts w:ascii="Times New Roman" w:eastAsia="Times New Roman" w:hAnsi="Times New Roman" w:cs="Times New Roman"/>
          <w:sz w:val="24"/>
        </w:rPr>
        <w:t xml:space="preserve">ске к которым относится к сфере деятельности некоммерческого партнерства «Союз строителей Московской области «Мособлстройкомплекс»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</w:rPr>
        <w:t>Утвердить новый Перечень видов работ, которые оказывают влияние на безопасность объектов капитального строительств</w:t>
      </w:r>
      <w:r>
        <w:rPr>
          <w:rFonts w:ascii="Times New Roman" w:eastAsia="Times New Roman" w:hAnsi="Times New Roman" w:cs="Times New Roman"/>
          <w:sz w:val="24"/>
        </w:rPr>
        <w:t xml:space="preserve">а и решение вопросов по выдаче свидетельства о допуске к которым относится к сфере деятельности некоммерческого партнерства «Союз строителей Московской области «Мособлстройкомплекс»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(приложение 2).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Голосовали:  «за»-100%.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Решение принято единогласно.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 ТРЕТЬЕМУ ВОПРОСУ ПОВЕСТКИ ДНЯ: Об утверждении Требований  к выдаче Некоммерческим партнерством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</w:t>
      </w:r>
      <w:r>
        <w:rPr>
          <w:rFonts w:ascii="Times New Roman" w:eastAsia="Times New Roman" w:hAnsi="Times New Roman" w:cs="Times New Roman"/>
          <w:b/>
          <w:sz w:val="24"/>
        </w:rPr>
        <w:t xml:space="preserve">пасность объектов капитального строительства  в новой редакции.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</w:rPr>
        <w:t>Генерального директора Некоммерческого партнерства «Союз строителей Московской области «Мособлстройкомплекс» Матюнину И.А., которая предложила утвердить Требования  к выдаче Неко</w:t>
      </w:r>
      <w:r>
        <w:rPr>
          <w:rFonts w:ascii="Times New Roman" w:eastAsia="Times New Roman" w:hAnsi="Times New Roman" w:cs="Times New Roman"/>
          <w:sz w:val="24"/>
        </w:rPr>
        <w:t xml:space="preserve">ммерческим партнерством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строительства в новой редакции.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РЕШИЛИ: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Утвердить Требования  к выдаче Некоммерческим партнерством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</w:rPr>
        <w:t xml:space="preserve">в новой редакции (приложение № 3). </w:t>
      </w:r>
      <w:r>
        <w:rPr>
          <w:rFonts w:ascii="Times New Roman" w:eastAsia="Times New Roman" w:hAnsi="Times New Roman" w:cs="Times New Roman"/>
          <w:b/>
          <w:sz w:val="24"/>
        </w:rPr>
        <w:t>Голосовали:  «за»-100%.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Решение принято единогласно.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15" w:right="204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 ЧЕТВЕРТОМУ ВОПРОСУ ПОВЕСТКИ ДНЯ: Об утверждении Правил саморегулирования НП МОСК-1.1-2010 «Требования к страхованию членами некоммерческого партнерства «Союз ст</w:t>
      </w:r>
      <w:r>
        <w:rPr>
          <w:rFonts w:ascii="Times New Roman" w:eastAsia="Times New Roman" w:hAnsi="Times New Roman" w:cs="Times New Roman"/>
          <w:b/>
          <w:sz w:val="24"/>
        </w:rPr>
        <w:t xml:space="preserve">роителей Московской области «Мособлстройкомплекс»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в новой редакции.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</w:rPr>
        <w:t xml:space="preserve">Председателя общего собрания членов Некоммерческого партнерства «Союз строителей Московской области «Мособлстройкомплекс» Кривошеева Владимира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Николаевича, который предложил утвердить Правила саморегулирования НП МОСК-1.12010 «Требования к ст</w:t>
      </w:r>
      <w:r>
        <w:rPr>
          <w:rFonts w:ascii="Times New Roman" w:eastAsia="Times New Roman" w:hAnsi="Times New Roman" w:cs="Times New Roman"/>
          <w:sz w:val="24"/>
        </w:rPr>
        <w:t>рахованию членами некоммерческого партнерства «Союз строителей Московской области «Мособлстройкомплекс»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</w:t>
      </w:r>
      <w:r>
        <w:rPr>
          <w:rFonts w:ascii="Times New Roman" w:eastAsia="Times New Roman" w:hAnsi="Times New Roman" w:cs="Times New Roman"/>
          <w:sz w:val="24"/>
        </w:rPr>
        <w:t xml:space="preserve">бъектов капитального строительства» в новой редакции.  </w:t>
      </w:r>
    </w:p>
    <w:p w:rsidR="00E21D31" w:rsidRDefault="007F207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</w:rPr>
        <w:t>Утвердить Правила саморегулирования НП МОСК-1.1-2010 «Требования к страхованию членами некоммерческого партнерства «Союз строителей Московской области «Мособлстройкомплекс» гражданской ответ</w:t>
      </w:r>
      <w:r>
        <w:rPr>
          <w:rFonts w:ascii="Times New Roman" w:eastAsia="Times New Roman" w:hAnsi="Times New Roman" w:cs="Times New Roman"/>
          <w:sz w:val="24"/>
        </w:rPr>
        <w:t xml:space="preserve">ственности, которая может наступить в случае причинения вреда вследствие недостатков работ, которые оказывают влияние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безопасность объектов капитального строительства» в новой редакции (Приложение № 4).  </w:t>
      </w:r>
      <w:r>
        <w:rPr>
          <w:rFonts w:ascii="Times New Roman" w:eastAsia="Times New Roman" w:hAnsi="Times New Roman" w:cs="Times New Roman"/>
          <w:b/>
          <w:sz w:val="24"/>
        </w:rPr>
        <w:t>Голосовали:  «за»-100%.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Решение принято единоглас</w:t>
      </w:r>
      <w:r>
        <w:rPr>
          <w:rFonts w:ascii="Times New Roman" w:eastAsia="Times New Roman" w:hAnsi="Times New Roman" w:cs="Times New Roman"/>
          <w:b/>
          <w:sz w:val="24"/>
        </w:rPr>
        <w:t xml:space="preserve">но.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1402664</wp:posOffset>
                </wp:positionH>
                <wp:positionV relativeFrom="paragraph">
                  <wp:posOffset>-384545</wp:posOffset>
                </wp:positionV>
                <wp:extent cx="4743450" cy="1633855"/>
                <wp:effectExtent l="0" t="0" r="0" b="0"/>
                <wp:wrapSquare wrapText="bothSides"/>
                <wp:docPr id="5878" name="Group 5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633855"/>
                          <a:chOff x="0" y="0"/>
                          <a:chExt cx="4743450" cy="1633855"/>
                        </a:xfrm>
                      </wpg:grpSpPr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0"/>
                            <a:ext cx="325755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2280" y="840105"/>
                            <a:ext cx="1377950" cy="793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50"/>
                            <a:ext cx="1485900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8" style="width:373.5pt;height:128.65pt;position:absolute;mso-position-horizontal-relative:text;mso-position-horizontal:absolute;margin-left:110.446pt;mso-position-vertical-relative:text;margin-top:-30.2792pt;" coordsize="47434,16338">
                <v:shape id="Picture 437" style="position:absolute;width:32575;height:10668;left:14859;top:0;" filled="f">
                  <v:imagedata r:id="rId10"/>
                </v:shape>
                <v:shape id="Picture 439" style="position:absolute;width:13779;height:7937;left:17322;top:8401;" filled="f">
                  <v:imagedata r:id="rId11"/>
                </v:shape>
                <v:shape id="Picture 441" style="position:absolute;width:14859;height:14478;left:0;top:1460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Председатель общего собрания 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НП «Мособлстройкомплекс»                                                                      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 общего собрания </w:t>
      </w:r>
    </w:p>
    <w:p w:rsidR="00E21D31" w:rsidRDefault="007F207F">
      <w:pPr>
        <w:spacing w:after="0" w:line="268" w:lineRule="auto"/>
      </w:pPr>
      <w:r>
        <w:rPr>
          <w:rFonts w:ascii="Times New Roman" w:eastAsia="Times New Roman" w:hAnsi="Times New Roman" w:cs="Times New Roman"/>
          <w:b/>
          <w:sz w:val="24"/>
        </w:rPr>
        <w:t>НП «Мособлстройкомплекс»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А.Ю. Останин  </w:t>
      </w:r>
      <w:r>
        <w:rPr>
          <w:rFonts w:ascii="Times New Roman" w:eastAsia="Times New Roman" w:hAnsi="Times New Roman" w:cs="Times New Roman"/>
          <w:sz w:val="24"/>
        </w:rPr>
        <w:t xml:space="preserve">приложение 2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24"/>
        <w:ind w:right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13" w:line="268" w:lineRule="auto"/>
        <w:ind w:left="216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Утверждено Общим собранием членов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Некоммерческого партнерства «Союз строителей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Московской области «Мособлстройкомплекс»,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протокол от 22 января 2010 г</w:t>
      </w:r>
      <w:r>
        <w:rPr>
          <w:rFonts w:ascii="Times New Roman" w:eastAsia="Times New Roman" w:hAnsi="Times New Roman" w:cs="Times New Roman"/>
          <w:sz w:val="24"/>
        </w:rPr>
        <w:t xml:space="preserve">. № 16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5" w:line="271" w:lineRule="auto"/>
        <w:ind w:left="89" w:right="204" w:firstLine="31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 </w:t>
      </w:r>
    </w:p>
    <w:p w:rsidR="00E21D31" w:rsidRDefault="007F207F">
      <w:pPr>
        <w:spacing w:after="5" w:line="271" w:lineRule="auto"/>
        <w:ind w:left="1512" w:right="204" w:hanging="129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 которым относится к сфере деятельности Некоммерческого партнерства «Союз строителей Московской области «Мособлстройкомплекс» </w:t>
      </w:r>
    </w:p>
    <w:p w:rsidR="00E21D31" w:rsidRDefault="007F207F">
      <w:pPr>
        <w:spacing w:after="23"/>
        <w:ind w:righ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13" w:line="268" w:lineRule="auto"/>
        <w:ind w:left="-5" w:right="210" w:hanging="10"/>
        <w:jc w:val="both"/>
      </w:pPr>
      <w:r>
        <w:rPr>
          <w:rFonts w:ascii="Times New Roman" w:eastAsia="Times New Roman" w:hAnsi="Times New Roman" w:cs="Times New Roman"/>
          <w:sz w:val="24"/>
        </w:rPr>
        <w:t>К сфере деятельности Некоммерческого партнерства «Союз строителей Московской области «Мособлстройкомплекс» относится решение в</w:t>
      </w:r>
      <w:r>
        <w:rPr>
          <w:rFonts w:ascii="Times New Roman" w:eastAsia="Times New Roman" w:hAnsi="Times New Roman" w:cs="Times New Roman"/>
          <w:sz w:val="24"/>
        </w:rPr>
        <w:t xml:space="preserve">опросов по выдаче свидетельств о допуске к следующим работам, которые оказывают влияние на безопасность объектов капитального строительства: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Подготовительные работы на строительной площадке 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сносу строений и разборке конструкций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>Работы по водо</w:t>
      </w:r>
      <w:r>
        <w:rPr>
          <w:rFonts w:ascii="Times New Roman" w:eastAsia="Times New Roman" w:hAnsi="Times New Roman" w:cs="Times New Roman"/>
          <w:sz w:val="23"/>
        </w:rPr>
        <w:t xml:space="preserve">понижению, организации поверхностного стока и водоотвода 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разработке выемок, вертикальной планировке 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насыпей и обратным засыпкам 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гидромеханизированные и дноуглубительные  </w:t>
      </w:r>
    </w:p>
    <w:p w:rsidR="00E21D31" w:rsidRDefault="007F207F">
      <w:pPr>
        <w:numPr>
          <w:ilvl w:val="0"/>
          <w:numId w:val="3"/>
        </w:numPr>
        <w:spacing w:after="17" w:line="258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взрывные  </w:t>
      </w:r>
    </w:p>
    <w:p w:rsidR="00E21D31" w:rsidRDefault="007F207F">
      <w:pPr>
        <w:numPr>
          <w:ilvl w:val="0"/>
          <w:numId w:val="3"/>
        </w:numPr>
        <w:spacing w:after="0" w:line="277" w:lineRule="auto"/>
        <w:ind w:right="2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свайных оснований, шпунтовых ограждений, анкеров  9. Работы по уплотнению грунтов естественного залегания и устройству грунтовых подушек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сооружению опускных колодцев и кессонов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>Работы по возведению сооружений способом «ст</w:t>
      </w:r>
      <w:r>
        <w:rPr>
          <w:rFonts w:ascii="Times New Roman" w:eastAsia="Times New Roman" w:hAnsi="Times New Roman" w:cs="Times New Roman"/>
          <w:sz w:val="23"/>
        </w:rPr>
        <w:t xml:space="preserve">ена в грунте».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Работы по закреплению грунтов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искусственному замораживанию грунтов.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бетонные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сборных железобетонных и бетонных конструкций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металлических конструкций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деревянных конструкций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легких ограждающих конструкций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стен из панелей типа «СЭНДВИЧ» и полистовой сборки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каменных конструкций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>Работы по экранированию помещений и устройству д</w:t>
      </w:r>
      <w:r>
        <w:rPr>
          <w:rFonts w:ascii="Times New Roman" w:eastAsia="Times New Roman" w:hAnsi="Times New Roman" w:cs="Times New Roman"/>
          <w:sz w:val="23"/>
        </w:rPr>
        <w:t xml:space="preserve">еформационных  швов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и футеровке промышленных печей и дымовых труб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кровель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гидроизоляции строительных конструкций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антикоррозийной защите строительных конструкций и оборудования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>Работы п</w:t>
      </w:r>
      <w:r>
        <w:rPr>
          <w:rFonts w:ascii="Times New Roman" w:eastAsia="Times New Roman" w:hAnsi="Times New Roman" w:cs="Times New Roman"/>
          <w:sz w:val="23"/>
        </w:rPr>
        <w:t xml:space="preserve">о теплоизоляции строительных конструкций, трубопроводов и оборудования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внутренних инженерных систем и оборудования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наружных инженерных сетей и коммуникаций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монтажу технологического оборудования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>Работ</w:t>
      </w:r>
      <w:r>
        <w:rPr>
          <w:rFonts w:ascii="Times New Roman" w:eastAsia="Times New Roman" w:hAnsi="Times New Roman" w:cs="Times New Roman"/>
          <w:sz w:val="23"/>
        </w:rPr>
        <w:t xml:space="preserve">ы пусконаладочные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строительству автомобильных дорог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строительству железнодорожных путей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подводные (водолазные)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горнопроходческие 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устройству конструкций скважин .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>Работы по осуществлению строительного к</w:t>
      </w:r>
      <w:r>
        <w:rPr>
          <w:rFonts w:ascii="Times New Roman" w:eastAsia="Times New Roman" w:hAnsi="Times New Roman" w:cs="Times New Roman"/>
          <w:sz w:val="23"/>
        </w:rPr>
        <w:t xml:space="preserve">онтроля застройщиком.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 </w:t>
      </w:r>
    </w:p>
    <w:p w:rsidR="00E21D31" w:rsidRDefault="007F207F">
      <w:pPr>
        <w:numPr>
          <w:ilvl w:val="0"/>
          <w:numId w:val="4"/>
        </w:numPr>
        <w:spacing w:after="17" w:line="258" w:lineRule="auto"/>
        <w:ind w:right="209" w:hanging="403"/>
        <w:jc w:val="both"/>
      </w:pPr>
      <w:r>
        <w:rPr>
          <w:rFonts w:ascii="Times New Roman" w:eastAsia="Times New Roman" w:hAnsi="Times New Roman" w:cs="Times New Roman"/>
          <w:sz w:val="23"/>
        </w:rPr>
        <w:t>Работы по организации строительства, реконструкции и капитального р</w:t>
      </w:r>
      <w:r>
        <w:rPr>
          <w:rFonts w:ascii="Times New Roman" w:eastAsia="Times New Roman" w:hAnsi="Times New Roman" w:cs="Times New Roman"/>
          <w:sz w:val="23"/>
        </w:rPr>
        <w:t xml:space="preserve">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 </w:t>
      </w:r>
    </w:p>
    <w:p w:rsidR="00E21D31" w:rsidRDefault="007F207F">
      <w:pPr>
        <w:spacing w:after="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21D31" w:rsidRDefault="007F207F">
      <w:pPr>
        <w:spacing w:after="0"/>
        <w:ind w:right="284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1D31" w:rsidRDefault="007F207F">
      <w:pPr>
        <w:spacing w:after="31"/>
        <w:ind w:right="28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D31" w:rsidRDefault="007F207F">
      <w:pPr>
        <w:spacing w:after="5" w:line="271" w:lineRule="auto"/>
        <w:ind w:left="-5" w:right="499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1576654</wp:posOffset>
                </wp:positionH>
                <wp:positionV relativeFrom="paragraph">
                  <wp:posOffset>-298518</wp:posOffset>
                </wp:positionV>
                <wp:extent cx="2695575" cy="1447800"/>
                <wp:effectExtent l="0" t="0" r="0" b="0"/>
                <wp:wrapSquare wrapText="bothSides"/>
                <wp:docPr id="5814" name="Group 5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447800"/>
                          <a:chOff x="0" y="0"/>
                          <a:chExt cx="2695575" cy="1447800"/>
                        </a:xfrm>
                      </wpg:grpSpPr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4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18515" y="402590"/>
                            <a:ext cx="1877060" cy="821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14" style="width:212.25pt;height:114pt;position:absolute;mso-position-horizontal-relative:text;mso-position-horizontal:absolute;margin-left:124.146pt;mso-position-vertical-relative:text;margin-top:-23.5054pt;" coordsize="26955,14478">
                <v:shape id="Picture 823" style="position:absolute;width:14859;height:14478;left:0;top:0;" filled="f">
                  <v:imagedata r:id="rId12"/>
                </v:shape>
                <v:shape id="Picture 825" style="position:absolute;width:18770;height:8210;left:8185;top:4025;" filled="f">
                  <v:imagedata r:id="rId1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Генеральный директор  некоммерческого партнерства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«Союз строителей Московской области </w:t>
      </w:r>
    </w:p>
    <w:p w:rsidR="00E21D31" w:rsidRDefault="007F207F">
      <w:pPr>
        <w:spacing w:after="5" w:line="271" w:lineRule="auto"/>
        <w:ind w:left="-5" w:right="20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«Мособлстройкомплекс»                                                                        И.А. Матюнина </w:t>
      </w:r>
    </w:p>
    <w:p w:rsidR="00E21D31" w:rsidRDefault="007F207F">
      <w:pPr>
        <w:spacing w:after="0"/>
        <w:ind w:right="28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28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28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D31" w:rsidRDefault="007F207F">
      <w:pPr>
        <w:spacing w:after="0"/>
        <w:ind w:right="1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21D31">
      <w:footerReference w:type="even" r:id="rId15"/>
      <w:footerReference w:type="default" r:id="rId16"/>
      <w:footerReference w:type="first" r:id="rId17"/>
      <w:pgSz w:w="11906" w:h="16838"/>
      <w:pgMar w:top="1140" w:right="629" w:bottom="1355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07F">
      <w:pPr>
        <w:spacing w:after="0" w:line="240" w:lineRule="auto"/>
      </w:pPr>
      <w:r>
        <w:separator/>
      </w:r>
    </w:p>
  </w:endnote>
  <w:endnote w:type="continuationSeparator" w:id="0">
    <w:p w:rsidR="00000000" w:rsidRDefault="007F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31" w:rsidRDefault="007F207F">
    <w:pPr>
      <w:spacing w:after="0"/>
      <w:ind w:right="2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21D31" w:rsidRDefault="007F207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31" w:rsidRDefault="007F207F">
    <w:pPr>
      <w:spacing w:after="0"/>
      <w:ind w:right="2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F207F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21D31" w:rsidRDefault="007F207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31" w:rsidRDefault="007F207F">
    <w:pPr>
      <w:spacing w:after="0"/>
      <w:ind w:right="2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21D31" w:rsidRDefault="007F207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07F">
      <w:pPr>
        <w:spacing w:after="0" w:line="240" w:lineRule="auto"/>
      </w:pPr>
      <w:r>
        <w:separator/>
      </w:r>
    </w:p>
  </w:footnote>
  <w:footnote w:type="continuationSeparator" w:id="0">
    <w:p w:rsidR="00000000" w:rsidRDefault="007F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057"/>
    <w:multiLevelType w:val="hybridMultilevel"/>
    <w:tmpl w:val="1662016A"/>
    <w:lvl w:ilvl="0" w:tplc="A9941DEA">
      <w:start w:val="10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9FC4B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5026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0218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E016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88E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CA85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E0EF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9468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D352E"/>
    <w:multiLevelType w:val="hybridMultilevel"/>
    <w:tmpl w:val="D2161F06"/>
    <w:lvl w:ilvl="0" w:tplc="6B726F7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562E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1AA5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AE36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0CDE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32F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9AEC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025F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42B4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408EA"/>
    <w:multiLevelType w:val="hybridMultilevel"/>
    <w:tmpl w:val="77D6C85A"/>
    <w:lvl w:ilvl="0" w:tplc="D6EA6F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4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C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67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2E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00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65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C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E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7E548A"/>
    <w:multiLevelType w:val="hybridMultilevel"/>
    <w:tmpl w:val="0036634E"/>
    <w:lvl w:ilvl="0" w:tplc="24927E92">
      <w:start w:val="3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A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A3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00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4B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2D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8D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6D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1"/>
    <w:rsid w:val="007F207F"/>
    <w:rsid w:val="00E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E08D-1992-4C45-9A57-CEFD965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right="2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16</vt:lpstr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16</dc:title>
  <dc:subject/>
  <dc:creator>Татьяна-ПК</dc:creator>
  <cp:keywords/>
  <cp:lastModifiedBy>Александра Чернышева</cp:lastModifiedBy>
  <cp:revision>2</cp:revision>
  <dcterms:created xsi:type="dcterms:W3CDTF">2022-01-19T14:38:00Z</dcterms:created>
  <dcterms:modified xsi:type="dcterms:W3CDTF">2022-01-19T14:38:00Z</dcterms:modified>
</cp:coreProperties>
</file>